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CE" w:rsidRDefault="00B959CE" w:rsidP="00B9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                                                               Утверждено приказом директора</w:t>
      </w:r>
    </w:p>
    <w:p w:rsidR="00B959CE" w:rsidRDefault="00B959CE" w:rsidP="00B9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тренерского совета                             МУДО «ДЮСШ по футболу»</w:t>
      </w:r>
    </w:p>
    <w:p w:rsidR="00B959CE" w:rsidRDefault="00B959CE" w:rsidP="00B9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В.П.Кабельников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                           от «04» сентября 2015 г № 31</w:t>
      </w:r>
    </w:p>
    <w:p w:rsidR="00B959CE" w:rsidRDefault="00B959CE" w:rsidP="00B959C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Пугаев</w:t>
      </w:r>
      <w:proofErr w:type="spellEnd"/>
    </w:p>
    <w:p w:rsidR="008924DF" w:rsidRDefault="008924DF" w:rsidP="008924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4DF" w:rsidRPr="00073622" w:rsidRDefault="008924DF" w:rsidP="008924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62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73622" w:rsidRPr="00073622" w:rsidRDefault="008924DF" w:rsidP="00073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2">
        <w:rPr>
          <w:rFonts w:ascii="Times New Roman" w:hAnsi="Times New Roman" w:cs="Times New Roman"/>
          <w:b/>
          <w:sz w:val="28"/>
          <w:szCs w:val="28"/>
        </w:rPr>
        <w:t>о порядке, размерах</w:t>
      </w:r>
      <w:r w:rsidR="00073622" w:rsidRPr="00073622">
        <w:rPr>
          <w:rFonts w:ascii="Times New Roman" w:hAnsi="Times New Roman" w:cs="Times New Roman"/>
          <w:b/>
          <w:sz w:val="28"/>
          <w:szCs w:val="28"/>
        </w:rPr>
        <w:t xml:space="preserve"> и условиях доплат и надбавок стимулирующего характера работников</w:t>
      </w:r>
      <w:r w:rsidR="00B959C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073622" w:rsidRPr="00073622">
        <w:rPr>
          <w:rFonts w:ascii="Times New Roman" w:hAnsi="Times New Roman" w:cs="Times New Roman"/>
          <w:b/>
          <w:sz w:val="28"/>
          <w:szCs w:val="28"/>
        </w:rPr>
        <w:t xml:space="preserve"> учреждения д</w:t>
      </w:r>
      <w:r w:rsidR="00B959CE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  <w:r w:rsidR="00073622" w:rsidRPr="00073622">
        <w:rPr>
          <w:rFonts w:ascii="Times New Roman" w:hAnsi="Times New Roman" w:cs="Times New Roman"/>
          <w:b/>
          <w:sz w:val="28"/>
          <w:szCs w:val="28"/>
        </w:rPr>
        <w:t xml:space="preserve"> «Детско-юношеская спортивная школа по футболу </w:t>
      </w:r>
    </w:p>
    <w:p w:rsidR="008924DF" w:rsidRPr="00073622" w:rsidRDefault="00073622" w:rsidP="00073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22">
        <w:rPr>
          <w:rFonts w:ascii="Times New Roman" w:hAnsi="Times New Roman" w:cs="Times New Roman"/>
          <w:b/>
          <w:sz w:val="28"/>
          <w:szCs w:val="28"/>
        </w:rPr>
        <w:t>г. Зеленокумска Советского района».</w:t>
      </w:r>
    </w:p>
    <w:p w:rsidR="00073622" w:rsidRDefault="00073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C28" w:rsidRPr="00670B22" w:rsidRDefault="00D35C28" w:rsidP="00670B22">
      <w:pPr>
        <w:pStyle w:val="a3"/>
        <w:numPr>
          <w:ilvl w:val="0"/>
          <w:numId w:val="1"/>
        </w:num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B22">
        <w:rPr>
          <w:rFonts w:ascii="Times New Roman" w:hAnsi="Times New Roman" w:cs="Times New Roman"/>
          <w:b/>
          <w:sz w:val="32"/>
          <w:szCs w:val="32"/>
        </w:rPr>
        <w:t>Общие положения.</w:t>
      </w:r>
    </w:p>
    <w:p w:rsidR="00D35C28" w:rsidRDefault="00D35C28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порядке, размерах и условиях доплат и надбавок стимул</w:t>
      </w:r>
      <w:r w:rsidR="00B959CE">
        <w:rPr>
          <w:rFonts w:ascii="Times New Roman" w:hAnsi="Times New Roman" w:cs="Times New Roman"/>
          <w:sz w:val="28"/>
          <w:szCs w:val="28"/>
        </w:rPr>
        <w:t>ирующего характера работников МУДО</w:t>
      </w:r>
      <w:r>
        <w:rPr>
          <w:rFonts w:ascii="Times New Roman" w:hAnsi="Times New Roman" w:cs="Times New Roman"/>
          <w:sz w:val="28"/>
          <w:szCs w:val="28"/>
        </w:rPr>
        <w:t xml:space="preserve"> «ДЮСШ по футболу» (далее – Положение) разработано в соответствии с «Примерным положением об оплате труда работников муниципальных образовательных </w:t>
      </w:r>
      <w:r w:rsidR="001D73A8">
        <w:rPr>
          <w:rFonts w:ascii="Times New Roman" w:hAnsi="Times New Roman" w:cs="Times New Roman"/>
          <w:sz w:val="28"/>
          <w:szCs w:val="28"/>
        </w:rPr>
        <w:t>учреждений Советского муниципального района Ставропольского края», у</w:t>
      </w:r>
      <w:r w:rsidR="00E53BDF">
        <w:rPr>
          <w:rFonts w:ascii="Times New Roman" w:hAnsi="Times New Roman" w:cs="Times New Roman"/>
          <w:sz w:val="28"/>
          <w:szCs w:val="28"/>
        </w:rPr>
        <w:t>твержденного Постановлением главы администрации Советского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BDF">
        <w:rPr>
          <w:rFonts w:ascii="Times New Roman" w:hAnsi="Times New Roman" w:cs="Times New Roman"/>
          <w:sz w:val="28"/>
          <w:szCs w:val="28"/>
        </w:rPr>
        <w:t>района Ставропольского края от 22 января 2009 г. № 18 (в редакции Постановления администрации Советского муниципального района Ставропольского</w:t>
      </w:r>
      <w:proofErr w:type="gramEnd"/>
      <w:r w:rsidR="00E53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BDF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E53BDF">
        <w:rPr>
          <w:rFonts w:ascii="Times New Roman" w:hAnsi="Times New Roman" w:cs="Times New Roman"/>
          <w:sz w:val="28"/>
          <w:szCs w:val="28"/>
        </w:rPr>
        <w:t xml:space="preserve"> от 30 ноября 2010 г. №714, от 04.10.2011 г. №864 «О внесении изменений в примерное Положение об оплат</w:t>
      </w:r>
      <w:r w:rsidR="000F4425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F4425">
        <w:rPr>
          <w:rFonts w:ascii="Times New Roman" w:hAnsi="Times New Roman" w:cs="Times New Roman"/>
          <w:sz w:val="28"/>
          <w:szCs w:val="28"/>
        </w:rPr>
        <w:t>труда работников муниципальных образовательных учреждений Советского муниципального района Ставропольского края</w:t>
      </w:r>
      <w:proofErr w:type="gramEnd"/>
      <w:r w:rsidR="000F4425">
        <w:rPr>
          <w:rFonts w:ascii="Times New Roman" w:hAnsi="Times New Roman" w:cs="Times New Roman"/>
          <w:sz w:val="28"/>
          <w:szCs w:val="28"/>
        </w:rPr>
        <w:t>»).</w:t>
      </w:r>
    </w:p>
    <w:p w:rsidR="000F4425" w:rsidRDefault="000F4425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устанавливает общий порядок и критерии формирования доплат и надбавок стимул</w:t>
      </w:r>
      <w:r w:rsidR="00B959CE">
        <w:rPr>
          <w:rFonts w:ascii="Times New Roman" w:hAnsi="Times New Roman" w:cs="Times New Roman"/>
          <w:sz w:val="28"/>
          <w:szCs w:val="28"/>
        </w:rPr>
        <w:t>ирующего характера работникам МУДО</w:t>
      </w:r>
      <w:r>
        <w:rPr>
          <w:rFonts w:ascii="Times New Roman" w:hAnsi="Times New Roman" w:cs="Times New Roman"/>
          <w:sz w:val="28"/>
          <w:szCs w:val="28"/>
        </w:rPr>
        <w:t xml:space="preserve"> «ДЮСШ по футболу» (далее – выплаты стимулирующего характера).</w:t>
      </w:r>
    </w:p>
    <w:p w:rsidR="000F4425" w:rsidRDefault="00F06701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стимулировании труда работников Учреждения принимается в соответствии с процедурой принятия локальных актов, предусмотренной Уставом Учреждения, Отраслевым соглашением по образовательным учрежден</w:t>
      </w:r>
      <w:r w:rsidR="00B959CE">
        <w:rPr>
          <w:rFonts w:ascii="Times New Roman" w:hAnsi="Times New Roman" w:cs="Times New Roman"/>
          <w:sz w:val="28"/>
          <w:szCs w:val="28"/>
        </w:rPr>
        <w:t>иям Ставропольского края на 2015-2017</w:t>
      </w:r>
      <w:r>
        <w:rPr>
          <w:rFonts w:ascii="Times New Roman" w:hAnsi="Times New Roman" w:cs="Times New Roman"/>
          <w:sz w:val="28"/>
          <w:szCs w:val="28"/>
        </w:rPr>
        <w:t xml:space="preserve"> г.г. с учетом мнения представительного органа работников (далее – тренерского совета) Учреждения.</w:t>
      </w:r>
    </w:p>
    <w:p w:rsidR="00F06701" w:rsidRDefault="00F06701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Стимулирующая часть фонда оплаты труда формируется в пределах бюджетных ассигнований на оплату труда работников Учреждения (после формирования базового фонда оплаты труда).</w:t>
      </w:r>
    </w:p>
    <w:p w:rsidR="00F06701" w:rsidRDefault="00F06701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 вправе направить на увеличение стимулирующей части фонда оплаты труда, денежные средства экономии по фонду оплаты за месяцы, предыдущие периоду установления стимулирующих надбавок.</w:t>
      </w:r>
    </w:p>
    <w:p w:rsidR="004F665B" w:rsidRDefault="004F665B" w:rsidP="00670B22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6701" w:rsidRPr="00670B22" w:rsidRDefault="00F06701" w:rsidP="00670B22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70B22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proofErr w:type="gramStart"/>
      <w:r w:rsidRPr="00670B22">
        <w:rPr>
          <w:rFonts w:ascii="Times New Roman" w:hAnsi="Times New Roman" w:cs="Times New Roman"/>
          <w:b/>
          <w:sz w:val="32"/>
          <w:szCs w:val="32"/>
        </w:rPr>
        <w:t>распределения стимулирующей части фонда оплаты труда</w:t>
      </w:r>
      <w:proofErr w:type="gramEnd"/>
      <w:r w:rsidRPr="00670B22">
        <w:rPr>
          <w:rFonts w:ascii="Times New Roman" w:hAnsi="Times New Roman" w:cs="Times New Roman"/>
          <w:b/>
          <w:sz w:val="32"/>
          <w:szCs w:val="32"/>
        </w:rPr>
        <w:t>.</w:t>
      </w:r>
    </w:p>
    <w:p w:rsidR="00D10A61" w:rsidRDefault="00D10A61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D10A61">
        <w:rPr>
          <w:rFonts w:ascii="Times New Roman" w:hAnsi="Times New Roman" w:cs="Times New Roman"/>
          <w:sz w:val="28"/>
          <w:szCs w:val="28"/>
        </w:rPr>
        <w:t xml:space="preserve"> В учреждении устанавливаются следующие выплаты стимулирующего характера: </w:t>
      </w:r>
    </w:p>
    <w:p w:rsidR="00D10A61" w:rsidRDefault="00D10A61" w:rsidP="00670B22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D10A61" w:rsidRDefault="00D10A61" w:rsidP="00670B22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D10A61" w:rsidRDefault="00D10A61" w:rsidP="00670B22">
      <w:pPr>
        <w:pStyle w:val="a3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0A61">
        <w:rPr>
          <w:rFonts w:ascii="Times New Roman" w:hAnsi="Times New Roman" w:cs="Times New Roman"/>
          <w:sz w:val="28"/>
          <w:szCs w:val="28"/>
        </w:rPr>
        <w:t>ыплаты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работы предлагают поощрение работника за участье в течение рассматриваемого периода в выполнении важных работ, мероприятий;</w:t>
      </w:r>
      <w:r w:rsidR="005F3BA6">
        <w:rPr>
          <w:rFonts w:ascii="Times New Roman" w:hAnsi="Times New Roman" w:cs="Times New Roman"/>
          <w:sz w:val="28"/>
          <w:szCs w:val="28"/>
        </w:rPr>
        <w:t xml:space="preserve"> за особый режим работы; за организацию и проведение мероприятий, направленных на повышение авторитета и имиджа Учреждения среди населения.</w:t>
      </w:r>
    </w:p>
    <w:p w:rsidR="005F3BA6" w:rsidRDefault="005F3BA6" w:rsidP="00670B22">
      <w:pPr>
        <w:pStyle w:val="a3"/>
        <w:numPr>
          <w:ilvl w:val="2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 за качество выполняемых работ предполагают поощрение работника за успешное и добросовестное исполнение работником своих должностных обязанностей, за качественную подготовку и проведение конкретного мероприятия; за качественную подготовку и своевременную сдачу отчетности;</w:t>
      </w:r>
      <w:r w:rsidR="004B6D27">
        <w:rPr>
          <w:rFonts w:ascii="Times New Roman" w:hAnsi="Times New Roman" w:cs="Times New Roman"/>
          <w:sz w:val="28"/>
          <w:szCs w:val="28"/>
        </w:rPr>
        <w:t xml:space="preserve"> за выполнение работ связанных с обеспечением безаварийного, бесперебойного функционирования инженерных и эксплуатационных систем жизнеобеспечения Учреждения.</w:t>
      </w:r>
    </w:p>
    <w:p w:rsidR="004B6D27" w:rsidRDefault="004B6D27" w:rsidP="00670B22">
      <w:pPr>
        <w:pStyle w:val="a3"/>
        <w:spacing w:before="24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критериев оценки результативности качества;</w:t>
      </w:r>
      <w:r w:rsidR="003E1CA8">
        <w:rPr>
          <w:rFonts w:ascii="Times New Roman" w:hAnsi="Times New Roman" w:cs="Times New Roman"/>
          <w:sz w:val="28"/>
          <w:szCs w:val="28"/>
        </w:rPr>
        <w:t xml:space="preserve"> работников Учреждения изложен в разделе 3 настоящего положения.</w:t>
      </w:r>
    </w:p>
    <w:p w:rsidR="003E1CA8" w:rsidRDefault="003E1CA8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стимулирующей части фонда оплаты труда работников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видам и формам материального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стимулирования работников производится на основании решения руководителя Учреждения с учетом мнения тренерского Совета в соответствии </w:t>
      </w:r>
      <w:r w:rsidR="005C2F24">
        <w:rPr>
          <w:rFonts w:ascii="Times New Roman" w:hAnsi="Times New Roman" w:cs="Times New Roman"/>
          <w:sz w:val="28"/>
          <w:szCs w:val="28"/>
        </w:rPr>
        <w:t>с утвержденным положением об оплате труда.</w:t>
      </w:r>
    </w:p>
    <w:p w:rsidR="005C2F24" w:rsidRDefault="005C2F24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работников максимальными размерами не ограничиваются и определяются в зависимости от качества и объема работ, выполняемых им.</w:t>
      </w:r>
    </w:p>
    <w:p w:rsidR="005C2F24" w:rsidRDefault="005C2F24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для определения размера выплат стимулирующего характера условий и показателей деятельности работников Учреждения за качество труда, не связанные с результативностью деятельности, не допускается.</w:t>
      </w:r>
    </w:p>
    <w:p w:rsidR="005C2F24" w:rsidRDefault="005C2F24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 (надбавки, доплаты) могут устанавливаться в процентном отношении к минимальному должностному окладу (ставкам) работника или в абсолютном выражении.</w:t>
      </w:r>
    </w:p>
    <w:p w:rsidR="005C2F24" w:rsidRDefault="00FC2540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труда руководителя, заместителя руководителя, производится только по должности тренер-преподаватель, по основной должности стимулирование труда не производится.</w:t>
      </w:r>
    </w:p>
    <w:p w:rsidR="00FC2540" w:rsidRDefault="00FC2540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 к должностному окладу (ставкам) работника Учреждения за интенсивность</w:t>
      </w:r>
      <w:r w:rsidR="009E053F">
        <w:rPr>
          <w:rFonts w:ascii="Times New Roman" w:hAnsi="Times New Roman" w:cs="Times New Roman"/>
          <w:sz w:val="28"/>
          <w:szCs w:val="28"/>
        </w:rPr>
        <w:t xml:space="preserve"> и высокие результаты </w:t>
      </w:r>
      <w:proofErr w:type="gramStart"/>
      <w:r w:rsidR="009E053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9E053F">
        <w:rPr>
          <w:rFonts w:ascii="Times New Roman" w:hAnsi="Times New Roman" w:cs="Times New Roman"/>
          <w:sz w:val="28"/>
          <w:szCs w:val="28"/>
        </w:rPr>
        <w:t xml:space="preserve"> и качество выполняемых работ устанавливаются приказом руководителя учреждения в денежной сумме на период установления стимулирующих надбавок.</w:t>
      </w:r>
    </w:p>
    <w:p w:rsidR="009E053F" w:rsidRDefault="009E053F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определения размера выплат стимулирующего характера работникам Учреждения за интенсивность и высокие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качество выполняемых работ, является итоговый оценочный лист</w:t>
      </w:r>
      <w:r w:rsidR="003D5F31">
        <w:rPr>
          <w:rFonts w:ascii="Times New Roman" w:hAnsi="Times New Roman" w:cs="Times New Roman"/>
          <w:sz w:val="28"/>
          <w:szCs w:val="28"/>
        </w:rPr>
        <w:t xml:space="preserve"> и решение тренерского совета Учреждения о согласовании оценки результативности деятельности работников Учреждения. Оценка результативности работников Учреждения проводится экспертно-аналитической группой с оформлением оценочного листа работника.</w:t>
      </w:r>
    </w:p>
    <w:p w:rsidR="003D5F31" w:rsidRDefault="003D5F31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экспертно-аналитической группы утверждается приказом руководителя Учреждения. В состав экспертно-аналитической группы могут входить руководитель Учреждения, заместитель руководителя Учреждения, представители тренерского Совета.</w:t>
      </w:r>
    </w:p>
    <w:p w:rsidR="00DF1058" w:rsidRDefault="00BA7312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</w:t>
      </w:r>
      <w:r w:rsidR="00DF1058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="00DF1058">
        <w:rPr>
          <w:rFonts w:ascii="Times New Roman" w:hAnsi="Times New Roman" w:cs="Times New Roman"/>
          <w:sz w:val="28"/>
          <w:szCs w:val="28"/>
        </w:rPr>
        <w:t xml:space="preserve"> заполняют оценочные листы согласно критериям и баллам. Экспертно-аналитическая группа заполняет и утверждает оценочные листы работников согласно критериям и баллам, утвержденным Положением о распределении стимулирующей </w:t>
      </w:r>
      <w:proofErr w:type="gramStart"/>
      <w:r w:rsidR="00DF1058">
        <w:rPr>
          <w:rFonts w:ascii="Times New Roman" w:hAnsi="Times New Roman" w:cs="Times New Roman"/>
          <w:sz w:val="28"/>
          <w:szCs w:val="28"/>
        </w:rPr>
        <w:t>части фонда оплаты труда Учреждения</w:t>
      </w:r>
      <w:proofErr w:type="gramEnd"/>
      <w:r w:rsidR="00DF1058">
        <w:rPr>
          <w:rFonts w:ascii="Times New Roman" w:hAnsi="Times New Roman" w:cs="Times New Roman"/>
          <w:sz w:val="28"/>
          <w:szCs w:val="28"/>
        </w:rPr>
        <w:t>. Координирует деятельность экспертно-аналитической группы руководитель Учреждения.</w:t>
      </w:r>
    </w:p>
    <w:p w:rsidR="003D5F31" w:rsidRDefault="00DF1058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 и содержание оценочных листов результативности и качества, деятел</w:t>
      </w:r>
      <w:r w:rsidR="00D1246B">
        <w:rPr>
          <w:rFonts w:ascii="Times New Roman" w:hAnsi="Times New Roman" w:cs="Times New Roman"/>
          <w:sz w:val="28"/>
          <w:szCs w:val="28"/>
        </w:rPr>
        <w:t>ьности работника включают: должность, фамилию имя отчество работника, критерии оценки, баллы, выставленные работниками и экспертами по соответствующем критериям, фамилию и инициалы эксперта, дату заполнение оценочного листа.</w:t>
      </w:r>
      <w:r w:rsidR="003D5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246B" w:rsidRDefault="00D1246B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итоговых оценочных листов работников Учреждения проводится на итоговом заседании экспертно-аналитической группы с оформлением письменного протокола. В протоколе итогового заседания указывается дата проведения заседания, присутствующие члены экспертно</w:t>
      </w:r>
      <w:r w:rsidR="006A120F">
        <w:rPr>
          <w:rFonts w:ascii="Times New Roman" w:hAnsi="Times New Roman" w:cs="Times New Roman"/>
          <w:sz w:val="28"/>
          <w:szCs w:val="28"/>
        </w:rPr>
        <w:t>-аналитической группы, фамилия и занимаемая должность работника, критерии результативности деятельности работника и среднеарифметическое количество баллов по оценочным листам, оформленным экспертами.</w:t>
      </w:r>
    </w:p>
    <w:p w:rsidR="006A120F" w:rsidRDefault="006A120F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 момента итогового заседания экспертно-аналитической группы руководитель Учреждения знакомит каждого сотрудника Учреждения с итоговым оценочным листом, в котором работник ставит дату ознакомления и роспись. В случае несогласия с оценкой результатов своей деятельности работник Учреждения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 момента ознакомления с итоговым оценочным вправе обратится в письменном виде за разъяснением в экспертно-</w:t>
      </w:r>
      <w:r w:rsidR="00B13C15">
        <w:rPr>
          <w:rFonts w:ascii="Times New Roman" w:hAnsi="Times New Roman" w:cs="Times New Roman"/>
          <w:sz w:val="28"/>
          <w:szCs w:val="28"/>
        </w:rPr>
        <w:t>аналитическую группу.</w:t>
      </w:r>
    </w:p>
    <w:p w:rsidR="00B13C15" w:rsidRDefault="00B13C15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Экспертно-аналитическая группа рассматривает письменное обращение работника и принимает решение об удовлетворении или отклонении обращения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дней. Результаты рассмотрения обращения оформляются протоколом, с которым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работник, а так же органы, уполномоченные рассматривать трудовые споры или тренерский Совет.</w:t>
      </w:r>
    </w:p>
    <w:p w:rsidR="00B13C15" w:rsidRDefault="00543C04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Учреждения представляет в тренерский Совет Учреждение аналитическую информацию о достижениях работников Учреждения, стимулирование которых производится за интенсивность и высокие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качество выполняемых работ в виде итогового оценочного листа, включающего критерии и количество баллов.</w:t>
      </w:r>
    </w:p>
    <w:p w:rsidR="004604CF" w:rsidRDefault="00543C04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руководителя Учреждения тренерского Совета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представленных результатов или же предлагает мотивированные изменения. Решение по вопросам согласования, внесения мотивированных изменений принимаются простым большинством голосов. Правомочность принятия решений тренерского Совета</w:t>
      </w:r>
      <w:r w:rsidR="004604CF">
        <w:rPr>
          <w:rFonts w:ascii="Times New Roman" w:hAnsi="Times New Roman" w:cs="Times New Roman"/>
          <w:sz w:val="28"/>
          <w:szCs w:val="28"/>
        </w:rPr>
        <w:t xml:space="preserve"> Учреждения определяется на основании документов, регламентирующих его деятельность.</w:t>
      </w:r>
    </w:p>
    <w:p w:rsidR="004604CF" w:rsidRDefault="004604CF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достижений работников Учреждения производится подсчет баллов за соответствующий период, по каждому работнику Учреждения</w:t>
      </w:r>
      <w:r w:rsidR="00543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составляется итоговая ведомость, отражающая сумму баллов по всем критериям оценки, зафиксированные в итоговых оценочных листах по каждому работнику. Полученное количество баллов суммируется и определяется итоговое количество баллов по Учреждению.</w:t>
      </w:r>
    </w:p>
    <w:p w:rsidR="004604CF" w:rsidRDefault="004604CF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стимулирующей части фонда оплаты труда</w:t>
      </w:r>
      <w:r w:rsidR="008A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3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33EC">
        <w:rPr>
          <w:rFonts w:ascii="Times New Roman" w:hAnsi="Times New Roman" w:cs="Times New Roman"/>
          <w:sz w:val="28"/>
          <w:szCs w:val="28"/>
        </w:rPr>
        <w:t>п. 1.3 Положения), запланированный на период установления стимулирующих надбавок за минусом суммы, необходимой на уплату единого социального налога, делится на итоговое количество баллов по Учреждению. В результате получается денежный вес (в рублях) каждого балла «Д».</w:t>
      </w:r>
    </w:p>
    <w:p w:rsidR="008A33EC" w:rsidRDefault="008A33EC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ежемесячной стимулирующей выплаты работнику Учреждения рассчитывается по формуле. НЕ=(Д*Б)/М где:</w:t>
      </w:r>
    </w:p>
    <w:p w:rsidR="008A33EC" w:rsidRDefault="008A33EC" w:rsidP="00670B22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– ежемесячная стимулирующая выплата работнику;</w:t>
      </w:r>
    </w:p>
    <w:p w:rsidR="008A33EC" w:rsidRDefault="008A33EC" w:rsidP="00670B22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денежный вес одного балла;</w:t>
      </w:r>
    </w:p>
    <w:p w:rsidR="008A33EC" w:rsidRDefault="008A33EC" w:rsidP="00670B22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баллов;</w:t>
      </w:r>
    </w:p>
    <w:p w:rsidR="008A33EC" w:rsidRDefault="008A33EC" w:rsidP="00670B22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количество месяцев в периоде, на который</w:t>
      </w:r>
      <w:r w:rsidR="00805F2C">
        <w:rPr>
          <w:rFonts w:ascii="Times New Roman" w:hAnsi="Times New Roman" w:cs="Times New Roman"/>
          <w:sz w:val="28"/>
          <w:szCs w:val="28"/>
        </w:rPr>
        <w:t xml:space="preserve"> устанавливается стимулирующая надбавка.</w:t>
      </w:r>
    </w:p>
    <w:p w:rsidR="00805F2C" w:rsidRDefault="00805F2C" w:rsidP="00670B22">
      <w:pPr>
        <w:pStyle w:val="a3"/>
        <w:spacing w:before="24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Например, ФОТ надбавок на период с сентября по декабрь включительно составляет 15000 руб., а общая сумма </w:t>
      </w:r>
      <w:r w:rsidR="00B959CE">
        <w:rPr>
          <w:rFonts w:ascii="Times New Roman" w:hAnsi="Times New Roman" w:cs="Times New Roman"/>
          <w:i/>
          <w:sz w:val="28"/>
          <w:szCs w:val="28"/>
        </w:rPr>
        <w:t>баллов, набранная работниками МУДО</w:t>
      </w:r>
      <w:r>
        <w:rPr>
          <w:rFonts w:ascii="Times New Roman" w:hAnsi="Times New Roman" w:cs="Times New Roman"/>
          <w:i/>
          <w:sz w:val="28"/>
          <w:szCs w:val="28"/>
        </w:rPr>
        <w:t xml:space="preserve"> = 100,тогда денежный вес 1 балла=15000руб.:100=150 руб.</w:t>
      </w:r>
    </w:p>
    <w:p w:rsidR="00805F2C" w:rsidRDefault="00805F2C" w:rsidP="00670B22">
      <w:pPr>
        <w:pStyle w:val="a3"/>
        <w:spacing w:before="24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Денежный вес 1 балла умножается на сумму баллов </w:t>
      </w:r>
      <w:r w:rsidR="00B959CE">
        <w:rPr>
          <w:rFonts w:ascii="Times New Roman" w:hAnsi="Times New Roman" w:cs="Times New Roman"/>
          <w:i/>
          <w:sz w:val="28"/>
          <w:szCs w:val="28"/>
        </w:rPr>
        <w:t>каждого работника МУДО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получается размер поощрительных надбавок по результатам труда каждому работнику на период с сентября по декабрь включительно.</w:t>
      </w:r>
    </w:p>
    <w:p w:rsidR="00805F2C" w:rsidRDefault="00DB0FCB" w:rsidP="00670B22">
      <w:pPr>
        <w:pStyle w:val="a3"/>
        <w:spacing w:before="24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Определение размеров поощрительных надбавок за результаты труда на январь – июнь очередного года происходит по такой же схеме в январе очередного года.</w:t>
      </w:r>
    </w:p>
    <w:p w:rsidR="00DB0FCB" w:rsidRDefault="00DB0FCB" w:rsidP="00670B22">
      <w:pPr>
        <w:pStyle w:val="a3"/>
        <w:numPr>
          <w:ilvl w:val="1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работников Учреждения,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оценки качества и результативности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должностям которых не предусмотрена разделом 3 настоящего Положения, производится за счет доли фонда стимулирующих выплат, пропорциональной доле базового фонда оплаты труда, используемой</w:t>
      </w:r>
      <w:r w:rsidR="00E00B1F">
        <w:rPr>
          <w:rFonts w:ascii="Times New Roman" w:hAnsi="Times New Roman" w:cs="Times New Roman"/>
          <w:sz w:val="28"/>
          <w:szCs w:val="28"/>
        </w:rPr>
        <w:t xml:space="preserve"> на оплату труда этой категории работников.</w:t>
      </w:r>
    </w:p>
    <w:p w:rsidR="00303A9D" w:rsidRPr="00670B22" w:rsidRDefault="00303A9D" w:rsidP="00670B22">
      <w:pPr>
        <w:pStyle w:val="a3"/>
        <w:numPr>
          <w:ilvl w:val="0"/>
          <w:numId w:val="1"/>
        </w:num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B22">
        <w:rPr>
          <w:rFonts w:ascii="Times New Roman" w:hAnsi="Times New Roman" w:cs="Times New Roman"/>
          <w:b/>
          <w:sz w:val="32"/>
          <w:szCs w:val="32"/>
        </w:rPr>
        <w:t>Критерии материального стимулирования тренера-преподавателя.</w:t>
      </w:r>
    </w:p>
    <w:p w:rsidR="00C658BA" w:rsidRPr="00BF6094" w:rsidRDefault="00C658BA" w:rsidP="00C658BA">
      <w:pPr>
        <w:rPr>
          <w:rFonts w:ascii="Times New Roman" w:hAnsi="Times New Roman" w:cs="Times New Roman"/>
          <w:sz w:val="28"/>
          <w:szCs w:val="28"/>
        </w:rPr>
      </w:pPr>
    </w:p>
    <w:p w:rsidR="00BF6094" w:rsidRPr="00BF6094" w:rsidRDefault="00BF6094" w:rsidP="00BF6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094">
        <w:rPr>
          <w:rFonts w:ascii="Times New Roman" w:hAnsi="Times New Roman" w:cs="Times New Roman"/>
          <w:sz w:val="28"/>
          <w:szCs w:val="28"/>
        </w:rPr>
        <w:t>3 .1</w:t>
      </w:r>
      <w:proofErr w:type="gramStart"/>
      <w:r w:rsidRPr="00BF609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F6094">
        <w:rPr>
          <w:rFonts w:ascii="Times New Roman" w:hAnsi="Times New Roman" w:cs="Times New Roman"/>
          <w:sz w:val="28"/>
          <w:szCs w:val="28"/>
        </w:rPr>
        <w:t>а интенсивность и высокие результаты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243"/>
        <w:gridCol w:w="1134"/>
        <w:gridCol w:w="1134"/>
        <w:gridCol w:w="1386"/>
      </w:tblGrid>
      <w:tr w:rsidR="00BF6094" w:rsidRPr="00BF6094" w:rsidTr="00F739DF">
        <w:tc>
          <w:tcPr>
            <w:tcW w:w="67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материального стимулирования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измерители                          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BF6094" w:rsidRPr="00BF6094" w:rsidTr="00F739DF">
        <w:tc>
          <w:tcPr>
            <w:tcW w:w="67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квалификации.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3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призеров и победителей соревнований и конкурсов</w:t>
            </w:r>
          </w:p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- на городском уровне или уровне муниципального района;</w:t>
            </w:r>
          </w:p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- на краевом уровне;</w:t>
            </w:r>
          </w:p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- на федеральном уровне.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3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обучающихся в спортивных соревнованиях:</w:t>
            </w:r>
            <w:proofErr w:type="gramEnd"/>
          </w:p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районных;</w:t>
            </w:r>
          </w:p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- краевых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6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3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в летний период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6094" w:rsidRPr="00BF6094" w:rsidRDefault="00BF6094" w:rsidP="00BF6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094">
        <w:rPr>
          <w:rFonts w:ascii="Times New Roman" w:hAnsi="Times New Roman" w:cs="Times New Roman"/>
          <w:sz w:val="28"/>
          <w:szCs w:val="28"/>
        </w:rPr>
        <w:t xml:space="preserve">                   Баллы:</w:t>
      </w:r>
    </w:p>
    <w:p w:rsidR="00BF6094" w:rsidRPr="00BF6094" w:rsidRDefault="00BF6094" w:rsidP="00BF6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094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BF609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F6094">
        <w:rPr>
          <w:rFonts w:ascii="Times New Roman" w:hAnsi="Times New Roman" w:cs="Times New Roman"/>
          <w:sz w:val="28"/>
          <w:szCs w:val="28"/>
        </w:rPr>
        <w:t>а качество выполняемых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1134"/>
        <w:gridCol w:w="1134"/>
        <w:gridCol w:w="1383"/>
      </w:tblGrid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материального стимулирования</w:t>
            </w:r>
          </w:p>
        </w:tc>
        <w:tc>
          <w:tcPr>
            <w:tcW w:w="2268" w:type="dxa"/>
            <w:gridSpan w:val="2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измерители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авторской образовательной программы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диагностической работы (контрольно-переводные нормативы).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работы с родителями.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обеспечение образовательного процесса.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Сохранность контингента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мастер-классов, открытых занятий, выступление на конференциях, педсоветах.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Охват учебно-воспитательной работой детей «группы риска»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наград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позитивных материалов в СМИ о деятельности тренера-преподавателя</w:t>
            </w:r>
          </w:p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- на городском уровне или уровне муниципального района;</w:t>
            </w:r>
          </w:p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- на краевом уровне;</w:t>
            </w:r>
          </w:p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- на федеральном уровне.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6094" w:rsidRPr="00BF6094" w:rsidRDefault="00BF6094" w:rsidP="00BF6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094">
        <w:rPr>
          <w:rFonts w:ascii="Times New Roman" w:hAnsi="Times New Roman" w:cs="Times New Roman"/>
          <w:sz w:val="28"/>
          <w:szCs w:val="28"/>
        </w:rPr>
        <w:t xml:space="preserve">                   Баллы:</w:t>
      </w:r>
    </w:p>
    <w:p w:rsidR="00BF6094" w:rsidRPr="00BF6094" w:rsidRDefault="00BF6094" w:rsidP="00BF6094">
      <w:pPr>
        <w:rPr>
          <w:rFonts w:ascii="Times New Roman" w:hAnsi="Times New Roman" w:cs="Times New Roman"/>
          <w:sz w:val="28"/>
          <w:szCs w:val="28"/>
        </w:rPr>
      </w:pPr>
    </w:p>
    <w:p w:rsidR="00BF6094" w:rsidRPr="00BF6094" w:rsidRDefault="00BF6094" w:rsidP="00BF6094">
      <w:pPr>
        <w:rPr>
          <w:rFonts w:ascii="Times New Roman" w:hAnsi="Times New Roman" w:cs="Times New Roman"/>
          <w:sz w:val="28"/>
          <w:szCs w:val="28"/>
        </w:rPr>
      </w:pPr>
    </w:p>
    <w:p w:rsidR="00BF6094" w:rsidRDefault="00BF6094" w:rsidP="00BF6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094" w:rsidRPr="00BF6094" w:rsidRDefault="00BF6094" w:rsidP="00BF6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094">
        <w:rPr>
          <w:rFonts w:ascii="Times New Roman" w:hAnsi="Times New Roman" w:cs="Times New Roman"/>
          <w:sz w:val="28"/>
          <w:szCs w:val="28"/>
        </w:rPr>
        <w:lastRenderedPageBreak/>
        <w:t>3.3 Критерии, понижающие стимулирующую часть оплаты труда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1134"/>
        <w:gridCol w:w="1134"/>
        <w:gridCol w:w="1383"/>
      </w:tblGrid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Критерии, понижающие уровень стимулирования</w:t>
            </w:r>
          </w:p>
        </w:tc>
        <w:tc>
          <w:tcPr>
            <w:tcW w:w="2268" w:type="dxa"/>
            <w:gridSpan w:val="2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измерители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Травматизм учащихся во время образовательного процесса.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Обоснованные жалобы о нарушении прав учащихся, нашедшие отражение в административных актах.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6094" w:rsidRPr="00BF6094" w:rsidTr="00F739DF">
        <w:tc>
          <w:tcPr>
            <w:tcW w:w="675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F6094" w:rsidRPr="00BF6094" w:rsidRDefault="00BF6094" w:rsidP="00F739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Нарушение норм техники безопасности.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094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383" w:type="dxa"/>
          </w:tcPr>
          <w:p w:rsidR="00BF6094" w:rsidRPr="00BF6094" w:rsidRDefault="00BF6094" w:rsidP="00F73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6094" w:rsidRPr="00BF6094" w:rsidRDefault="00BF6094" w:rsidP="00BF6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094">
        <w:rPr>
          <w:rFonts w:ascii="Times New Roman" w:hAnsi="Times New Roman" w:cs="Times New Roman"/>
          <w:sz w:val="28"/>
          <w:szCs w:val="28"/>
        </w:rPr>
        <w:t xml:space="preserve">                        Баллы:</w:t>
      </w:r>
    </w:p>
    <w:p w:rsidR="00B3034E" w:rsidRPr="00DB0FCB" w:rsidRDefault="00B3034E" w:rsidP="00B3034E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B3034E" w:rsidRPr="00DB0FCB" w:rsidSect="008924DF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F7C"/>
    <w:multiLevelType w:val="multilevel"/>
    <w:tmpl w:val="B7B663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71197C"/>
    <w:multiLevelType w:val="hybridMultilevel"/>
    <w:tmpl w:val="E172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A7B12"/>
    <w:multiLevelType w:val="hybridMultilevel"/>
    <w:tmpl w:val="6E264A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8908C0"/>
    <w:multiLevelType w:val="multilevel"/>
    <w:tmpl w:val="B7B663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4DF"/>
    <w:rsid w:val="00073622"/>
    <w:rsid w:val="000F4425"/>
    <w:rsid w:val="001D73A8"/>
    <w:rsid w:val="00206B31"/>
    <w:rsid w:val="002B1219"/>
    <w:rsid w:val="00303A9D"/>
    <w:rsid w:val="003D5F31"/>
    <w:rsid w:val="003E1CA8"/>
    <w:rsid w:val="004604CF"/>
    <w:rsid w:val="00495373"/>
    <w:rsid w:val="004B1866"/>
    <w:rsid w:val="004B6D27"/>
    <w:rsid w:val="004F665B"/>
    <w:rsid w:val="00543C04"/>
    <w:rsid w:val="005C2F24"/>
    <w:rsid w:val="005F26B9"/>
    <w:rsid w:val="005F3BA6"/>
    <w:rsid w:val="00670B22"/>
    <w:rsid w:val="006A120F"/>
    <w:rsid w:val="00805F2C"/>
    <w:rsid w:val="0084152B"/>
    <w:rsid w:val="008924DF"/>
    <w:rsid w:val="008A33EC"/>
    <w:rsid w:val="009E053F"/>
    <w:rsid w:val="00AF58D2"/>
    <w:rsid w:val="00B13C15"/>
    <w:rsid w:val="00B3034E"/>
    <w:rsid w:val="00B959CE"/>
    <w:rsid w:val="00BA7312"/>
    <w:rsid w:val="00BF6094"/>
    <w:rsid w:val="00C658BA"/>
    <w:rsid w:val="00D10A61"/>
    <w:rsid w:val="00D1246B"/>
    <w:rsid w:val="00D35C28"/>
    <w:rsid w:val="00DB0FCB"/>
    <w:rsid w:val="00DF1058"/>
    <w:rsid w:val="00E00B1F"/>
    <w:rsid w:val="00E53BDF"/>
    <w:rsid w:val="00E67F5B"/>
    <w:rsid w:val="00EE3BE0"/>
    <w:rsid w:val="00F06701"/>
    <w:rsid w:val="00FC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28"/>
    <w:pPr>
      <w:ind w:left="720"/>
      <w:contextualSpacing/>
    </w:pPr>
  </w:style>
  <w:style w:type="table" w:styleId="a4">
    <w:name w:val="Table Grid"/>
    <w:basedOn w:val="a1"/>
    <w:uiPriority w:val="59"/>
    <w:rsid w:val="002B1219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7B80-6ADE-4599-BA8C-17F4D878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4294962431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Бухгалтерия</cp:lastModifiedBy>
  <cp:revision>9</cp:revision>
  <cp:lastPrinted>2016-01-28T08:43:00Z</cp:lastPrinted>
  <dcterms:created xsi:type="dcterms:W3CDTF">2014-12-18T12:09:00Z</dcterms:created>
  <dcterms:modified xsi:type="dcterms:W3CDTF">2016-01-28T08:43:00Z</dcterms:modified>
</cp:coreProperties>
</file>